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4C" w:rsidRPr="001334B6" w:rsidRDefault="00BB5E4C" w:rsidP="00236BD3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eastAsia="en-US"/>
        </w:rPr>
      </w:pPr>
      <w:r w:rsidRPr="001334B6">
        <w:rPr>
          <w:b/>
          <w:color w:val="000000"/>
          <w:sz w:val="28"/>
          <w:szCs w:val="28"/>
          <w:lang w:eastAsia="en-US"/>
        </w:rPr>
        <w:t xml:space="preserve">Пояснительная записка </w:t>
      </w:r>
    </w:p>
    <w:p w:rsidR="00683077" w:rsidRPr="005130BB" w:rsidRDefault="00C025FE" w:rsidP="00236BD3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eastAsia="en-US"/>
        </w:rPr>
      </w:pPr>
      <w:r w:rsidRPr="005130BB">
        <w:rPr>
          <w:color w:val="000000"/>
          <w:sz w:val="28"/>
          <w:szCs w:val="28"/>
          <w:lang w:eastAsia="en-US"/>
        </w:rPr>
        <w:t xml:space="preserve">к проекту </w:t>
      </w:r>
      <w:r w:rsidR="00683077" w:rsidRPr="005130BB">
        <w:rPr>
          <w:color w:val="000000"/>
          <w:sz w:val="28"/>
          <w:szCs w:val="28"/>
          <w:lang w:eastAsia="en-US"/>
        </w:rPr>
        <w:t>межгосударственного стандарта</w:t>
      </w:r>
    </w:p>
    <w:p w:rsidR="00236BD3" w:rsidRPr="005130BB" w:rsidRDefault="00236BD3" w:rsidP="00236BD3">
      <w:pPr>
        <w:contextualSpacing/>
        <w:jc w:val="center"/>
        <w:rPr>
          <w:color w:val="000000"/>
          <w:sz w:val="28"/>
          <w:szCs w:val="28"/>
        </w:rPr>
      </w:pPr>
      <w:r w:rsidRPr="005130BB">
        <w:rPr>
          <w:color w:val="000000"/>
          <w:sz w:val="28"/>
          <w:szCs w:val="28"/>
        </w:rPr>
        <w:t>ГОСТ «</w:t>
      </w:r>
      <w:r w:rsidR="0019707E" w:rsidRPr="005130BB">
        <w:rPr>
          <w:color w:val="000000"/>
          <w:sz w:val="28"/>
          <w:szCs w:val="28"/>
        </w:rPr>
        <w:t xml:space="preserve">Смеси адаптированные для искусственного вскармливания детей раннего возраста и смеси для </w:t>
      </w:r>
      <w:proofErr w:type="spellStart"/>
      <w:r w:rsidR="0019707E" w:rsidRPr="005130BB">
        <w:rPr>
          <w:color w:val="000000"/>
          <w:sz w:val="28"/>
          <w:szCs w:val="28"/>
        </w:rPr>
        <w:t>энтерального</w:t>
      </w:r>
      <w:proofErr w:type="spellEnd"/>
      <w:r w:rsidR="00B575EB" w:rsidRPr="005130BB">
        <w:rPr>
          <w:color w:val="000000"/>
          <w:sz w:val="28"/>
          <w:szCs w:val="28"/>
        </w:rPr>
        <w:t xml:space="preserve"> питания взрослых. Определение </w:t>
      </w:r>
      <w:proofErr w:type="gramStart"/>
      <w:r w:rsidR="0019707E" w:rsidRPr="005130BB">
        <w:rPr>
          <w:color w:val="000000"/>
          <w:sz w:val="28"/>
          <w:szCs w:val="28"/>
        </w:rPr>
        <w:t>β-</w:t>
      </w:r>
      <w:proofErr w:type="gramEnd"/>
      <w:r w:rsidR="0019707E" w:rsidRPr="005130BB">
        <w:rPr>
          <w:color w:val="000000"/>
          <w:sz w:val="28"/>
          <w:szCs w:val="28"/>
        </w:rPr>
        <w:t xml:space="preserve">каротина, </w:t>
      </w:r>
      <w:proofErr w:type="spellStart"/>
      <w:r w:rsidR="0019707E" w:rsidRPr="005130BB">
        <w:rPr>
          <w:color w:val="000000"/>
          <w:sz w:val="28"/>
          <w:szCs w:val="28"/>
        </w:rPr>
        <w:t>ликопина</w:t>
      </w:r>
      <w:proofErr w:type="spellEnd"/>
      <w:r w:rsidR="0019707E" w:rsidRPr="005130BB">
        <w:rPr>
          <w:color w:val="000000"/>
          <w:sz w:val="28"/>
          <w:szCs w:val="28"/>
        </w:rPr>
        <w:t xml:space="preserve"> и </w:t>
      </w:r>
      <w:proofErr w:type="spellStart"/>
      <w:r w:rsidR="0019707E" w:rsidRPr="005130BB">
        <w:rPr>
          <w:color w:val="000000"/>
          <w:sz w:val="28"/>
          <w:szCs w:val="28"/>
        </w:rPr>
        <w:t>лютеина</w:t>
      </w:r>
      <w:proofErr w:type="spellEnd"/>
      <w:r w:rsidR="0019707E" w:rsidRPr="005130BB">
        <w:rPr>
          <w:color w:val="000000"/>
          <w:sz w:val="28"/>
          <w:szCs w:val="28"/>
        </w:rPr>
        <w:t xml:space="preserve"> с помощью </w:t>
      </w:r>
      <w:proofErr w:type="spellStart"/>
      <w:r w:rsidR="0019707E" w:rsidRPr="005130BB">
        <w:rPr>
          <w:color w:val="000000"/>
          <w:sz w:val="28"/>
          <w:szCs w:val="28"/>
        </w:rPr>
        <w:t>ультравысокоэффективной</w:t>
      </w:r>
      <w:proofErr w:type="spellEnd"/>
      <w:r w:rsidR="0019707E" w:rsidRPr="005130BB">
        <w:rPr>
          <w:color w:val="000000"/>
          <w:sz w:val="28"/>
          <w:szCs w:val="28"/>
        </w:rPr>
        <w:t xml:space="preserve"> жидкостной хроматографии</w:t>
      </w:r>
      <w:r w:rsidRPr="005130BB">
        <w:rPr>
          <w:color w:val="000000"/>
          <w:sz w:val="28"/>
          <w:szCs w:val="28"/>
        </w:rPr>
        <w:t>»</w:t>
      </w:r>
    </w:p>
    <w:p w:rsidR="009A6B02" w:rsidRPr="005130BB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:rsidR="001334B6" w:rsidRPr="001334B6" w:rsidRDefault="0025664B" w:rsidP="0019707E">
      <w:pPr>
        <w:ind w:firstLine="567"/>
        <w:jc w:val="both"/>
        <w:rPr>
          <w:b/>
          <w:color w:val="000000"/>
          <w:sz w:val="28"/>
          <w:szCs w:val="28"/>
          <w:lang w:eastAsia="ru-RU"/>
        </w:rPr>
      </w:pPr>
      <w:r w:rsidRPr="001334B6">
        <w:rPr>
          <w:b/>
          <w:color w:val="000000"/>
          <w:sz w:val="28"/>
          <w:szCs w:val="28"/>
          <w:lang w:eastAsia="ru-RU"/>
        </w:rPr>
        <w:t>1 Основание для разработки стандарта с указанием  номера темы по программе работ по межгосударственной стандартизации</w:t>
      </w:r>
    </w:p>
    <w:p w:rsidR="001334B6" w:rsidRPr="001334B6" w:rsidRDefault="001334B6" w:rsidP="001334B6">
      <w:pPr>
        <w:ind w:firstLine="567"/>
        <w:jc w:val="both"/>
        <w:rPr>
          <w:color w:val="000000"/>
          <w:sz w:val="28"/>
          <w:szCs w:val="28"/>
          <w:lang w:eastAsia="ru-RU"/>
        </w:rPr>
      </w:pPr>
      <w:r w:rsidRPr="001334B6">
        <w:rPr>
          <w:color w:val="000000"/>
          <w:sz w:val="28"/>
          <w:szCs w:val="28"/>
          <w:lang w:eastAsia="ru-RU"/>
        </w:rPr>
        <w:t>Национальный план стандартизации на 2021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04 февраля 2021 года № № 38-НК с учетом изменений и дополнений).</w:t>
      </w:r>
    </w:p>
    <w:p w:rsidR="0019707E" w:rsidRPr="001334B6" w:rsidRDefault="0019707E" w:rsidP="00702F60">
      <w:pPr>
        <w:ind w:firstLine="567"/>
        <w:jc w:val="both"/>
        <w:rPr>
          <w:sz w:val="28"/>
          <w:szCs w:val="28"/>
          <w:lang w:val="kk-KZ" w:eastAsia="ru-RU"/>
        </w:rPr>
      </w:pPr>
    </w:p>
    <w:p w:rsidR="0025664B" w:rsidRPr="001334B6" w:rsidRDefault="0025664B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1334B6">
        <w:rPr>
          <w:b/>
          <w:bCs/>
          <w:sz w:val="28"/>
          <w:szCs w:val="28"/>
        </w:rPr>
        <w:t xml:space="preserve">2 Краткая характеристика объекта стандартизации </w:t>
      </w:r>
    </w:p>
    <w:p w:rsidR="001334B6" w:rsidRPr="001334B6" w:rsidRDefault="001334B6" w:rsidP="00BB5E4C">
      <w:pPr>
        <w:pStyle w:val="a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1334B6">
        <w:rPr>
          <w:bCs/>
          <w:sz w:val="28"/>
          <w:szCs w:val="28"/>
        </w:rPr>
        <w:t xml:space="preserve">Настоящий стандарт описывает метод количественного определения </w:t>
      </w:r>
      <w:proofErr w:type="gramStart"/>
      <w:r w:rsidRPr="001334B6">
        <w:rPr>
          <w:bCs/>
          <w:sz w:val="28"/>
          <w:szCs w:val="28"/>
        </w:rPr>
        <w:t>β-</w:t>
      </w:r>
      <w:proofErr w:type="gramEnd"/>
      <w:r w:rsidRPr="001334B6">
        <w:rPr>
          <w:bCs/>
          <w:sz w:val="28"/>
          <w:szCs w:val="28"/>
        </w:rPr>
        <w:t xml:space="preserve">каротина и </w:t>
      </w:r>
      <w:proofErr w:type="spellStart"/>
      <w:r w:rsidRPr="001334B6">
        <w:rPr>
          <w:bCs/>
          <w:sz w:val="28"/>
          <w:szCs w:val="28"/>
        </w:rPr>
        <w:t>ликопина</w:t>
      </w:r>
      <w:proofErr w:type="spellEnd"/>
      <w:r w:rsidRPr="001334B6">
        <w:rPr>
          <w:bCs/>
          <w:sz w:val="28"/>
          <w:szCs w:val="28"/>
        </w:rPr>
        <w:t xml:space="preserve"> в детских смесях и пищевых продуктах для взрослых в твердой (т.е. порошки) или жидкой (т.е. готовые к употреблению жидкости и жидкие концентраты) формах с использованием </w:t>
      </w:r>
      <w:proofErr w:type="spellStart"/>
      <w:r w:rsidRPr="001334B6">
        <w:rPr>
          <w:bCs/>
          <w:sz w:val="28"/>
          <w:szCs w:val="28"/>
        </w:rPr>
        <w:t>обращенно</w:t>
      </w:r>
      <w:proofErr w:type="spellEnd"/>
      <w:r w:rsidRPr="001334B6">
        <w:rPr>
          <w:bCs/>
          <w:sz w:val="28"/>
          <w:szCs w:val="28"/>
        </w:rPr>
        <w:t xml:space="preserve">-фазовой сверхвысокой производительности жидкостная хроматография (RP-UHPLC) и УФ-видимое обнаружение. Диапазон применения составляет от 1 мкг/100 г до 1 500 мкг/100 г для </w:t>
      </w:r>
      <w:proofErr w:type="spellStart"/>
      <w:r w:rsidRPr="001334B6">
        <w:rPr>
          <w:bCs/>
          <w:sz w:val="28"/>
          <w:szCs w:val="28"/>
        </w:rPr>
        <w:t>ликопина</w:t>
      </w:r>
      <w:proofErr w:type="spellEnd"/>
      <w:r w:rsidRPr="001334B6">
        <w:rPr>
          <w:bCs/>
          <w:sz w:val="28"/>
          <w:szCs w:val="28"/>
        </w:rPr>
        <w:t xml:space="preserve"> и от 1 мкг/100 г до 2 250 мкг/100 г для </w:t>
      </w:r>
      <w:proofErr w:type="gramStart"/>
      <w:r w:rsidRPr="001334B6">
        <w:rPr>
          <w:bCs/>
          <w:sz w:val="28"/>
          <w:szCs w:val="28"/>
        </w:rPr>
        <w:t>β-</w:t>
      </w:r>
      <w:proofErr w:type="gramEnd"/>
      <w:r w:rsidRPr="001334B6">
        <w:rPr>
          <w:bCs/>
          <w:sz w:val="28"/>
          <w:szCs w:val="28"/>
        </w:rPr>
        <w:t xml:space="preserve">каротина. На основании </w:t>
      </w:r>
      <w:proofErr w:type="spellStart"/>
      <w:r w:rsidRPr="001334B6">
        <w:rPr>
          <w:bCs/>
          <w:sz w:val="28"/>
          <w:szCs w:val="28"/>
        </w:rPr>
        <w:t>валидации</w:t>
      </w:r>
      <w:proofErr w:type="spellEnd"/>
      <w:r w:rsidRPr="001334B6">
        <w:rPr>
          <w:bCs/>
          <w:sz w:val="28"/>
          <w:szCs w:val="28"/>
        </w:rPr>
        <w:t xml:space="preserve"> в одной лаборатории предел обнаружения (LOD) составлял 0,1 мкг/100 г, а предел количественного определения (LOQ) составлял 0,3 мкг/100 г для каждого </w:t>
      </w:r>
      <w:proofErr w:type="spellStart"/>
      <w:r w:rsidRPr="001334B6">
        <w:rPr>
          <w:bCs/>
          <w:sz w:val="28"/>
          <w:szCs w:val="28"/>
        </w:rPr>
        <w:t>каротиноида</w:t>
      </w:r>
      <w:proofErr w:type="spellEnd"/>
      <w:r w:rsidRPr="001334B6">
        <w:rPr>
          <w:bCs/>
          <w:sz w:val="28"/>
          <w:szCs w:val="28"/>
        </w:rPr>
        <w:t>.</w:t>
      </w:r>
    </w:p>
    <w:p w:rsidR="00312001" w:rsidRPr="001334B6" w:rsidRDefault="00312001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334B6" w:rsidRPr="001334B6" w:rsidRDefault="0025664B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sz w:val="28"/>
          <w:szCs w:val="28"/>
          <w:lang w:eastAsia="ru-RU"/>
        </w:rPr>
      </w:pPr>
      <w:r w:rsidRPr="001334B6">
        <w:rPr>
          <w:b/>
          <w:bCs/>
          <w:sz w:val="28"/>
          <w:szCs w:val="28"/>
          <w:lang w:eastAsia="ru-RU"/>
        </w:rPr>
        <w:t xml:space="preserve">3 Технико-экономическое или иное обоснование разработки стандарта </w:t>
      </w:r>
    </w:p>
    <w:p w:rsidR="001334B6" w:rsidRPr="001334B6" w:rsidRDefault="001334B6" w:rsidP="001334B6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  <w:lang w:eastAsia="ru-RU"/>
        </w:rPr>
      </w:pPr>
      <w:r w:rsidRPr="001334B6">
        <w:rPr>
          <w:bCs/>
          <w:sz w:val="28"/>
          <w:szCs w:val="28"/>
          <w:lang w:eastAsia="ru-RU"/>
        </w:rPr>
        <w:t xml:space="preserve">Необходимость разработки настоящего стандарта выполнения требований пунктов 13 и 15-17 статьи 7, приложения 9, 10 и 11 </w:t>
      </w:r>
      <w:proofErr w:type="gramStart"/>
      <w:r w:rsidRPr="001334B6">
        <w:rPr>
          <w:bCs/>
          <w:sz w:val="28"/>
          <w:szCs w:val="28"/>
          <w:lang w:eastAsia="ru-RU"/>
        </w:rPr>
        <w:t>ТР</w:t>
      </w:r>
      <w:proofErr w:type="gramEnd"/>
      <w:r w:rsidRPr="001334B6">
        <w:rPr>
          <w:bCs/>
          <w:sz w:val="28"/>
          <w:szCs w:val="28"/>
          <w:lang w:eastAsia="ru-RU"/>
        </w:rPr>
        <w:t xml:space="preserve"> ТС 029/2012 «Требования безопасности пищевых добавок, </w:t>
      </w:r>
      <w:proofErr w:type="spellStart"/>
      <w:r w:rsidRPr="001334B6">
        <w:rPr>
          <w:bCs/>
          <w:sz w:val="28"/>
          <w:szCs w:val="28"/>
          <w:lang w:eastAsia="ru-RU"/>
        </w:rPr>
        <w:t>ароматизаторов</w:t>
      </w:r>
      <w:proofErr w:type="spellEnd"/>
      <w:r w:rsidR="005130BB">
        <w:rPr>
          <w:bCs/>
          <w:sz w:val="28"/>
          <w:szCs w:val="28"/>
          <w:lang w:eastAsia="ru-RU"/>
        </w:rPr>
        <w:t xml:space="preserve"> </w:t>
      </w:r>
      <w:r w:rsidRPr="001334B6">
        <w:rPr>
          <w:bCs/>
          <w:sz w:val="28"/>
          <w:szCs w:val="28"/>
          <w:lang w:eastAsia="ru-RU"/>
        </w:rPr>
        <w:t xml:space="preserve">и технологических вспомогательных средств», а также в реализацию исполнения п.6 Решения Совета ЕЭК от 18.10.2016 года №161 «О Порядке разработки и принятия перечней международных и региональных (межгосударственных) стандартов, а в случае их отсутствия  </w:t>
      </w:r>
      <w:proofErr w:type="gramStart"/>
      <w:r w:rsidRPr="001334B6">
        <w:rPr>
          <w:bCs/>
          <w:sz w:val="28"/>
          <w:szCs w:val="28"/>
          <w:lang w:eastAsia="ru-RU"/>
        </w:rPr>
        <w:t>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</w:t>
      </w:r>
      <w:proofErr w:type="gramEnd"/>
      <w:r w:rsidRPr="001334B6">
        <w:rPr>
          <w:bCs/>
          <w:sz w:val="28"/>
          <w:szCs w:val="28"/>
          <w:lang w:eastAsia="ru-RU"/>
        </w:rPr>
        <w:t xml:space="preserve"> оценки соответствия объектов технического регулирования»</w:t>
      </w:r>
    </w:p>
    <w:p w:rsidR="001334B6" w:rsidRPr="001334B6" w:rsidRDefault="001334B6" w:rsidP="001334B6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  <w:lang w:eastAsia="ru-RU"/>
        </w:rPr>
      </w:pPr>
      <w:r w:rsidRPr="001334B6">
        <w:rPr>
          <w:bCs/>
          <w:sz w:val="28"/>
          <w:szCs w:val="28"/>
          <w:lang w:eastAsia="ru-RU"/>
        </w:rPr>
        <w:t xml:space="preserve">В этой связи, возникает потребность в разработке ГОСТ для дальнейшего включения его в Перечни стандартов к </w:t>
      </w:r>
      <w:proofErr w:type="gramStart"/>
      <w:r w:rsidRPr="001334B6">
        <w:rPr>
          <w:bCs/>
          <w:sz w:val="28"/>
          <w:szCs w:val="28"/>
          <w:lang w:eastAsia="ru-RU"/>
        </w:rPr>
        <w:t>ТР</w:t>
      </w:r>
      <w:proofErr w:type="gramEnd"/>
      <w:r w:rsidRPr="001334B6">
        <w:rPr>
          <w:bCs/>
          <w:sz w:val="28"/>
          <w:szCs w:val="28"/>
          <w:lang w:eastAsia="ru-RU"/>
        </w:rPr>
        <w:t xml:space="preserve"> ТС 029/2012.</w:t>
      </w:r>
    </w:p>
    <w:p w:rsidR="001334B6" w:rsidRDefault="001334B6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sz w:val="28"/>
          <w:szCs w:val="28"/>
          <w:lang w:eastAsia="ru-RU"/>
        </w:rPr>
      </w:pPr>
    </w:p>
    <w:p w:rsidR="005130BB" w:rsidRDefault="005130BB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sz w:val="28"/>
          <w:szCs w:val="28"/>
          <w:lang w:eastAsia="ru-RU"/>
        </w:rPr>
      </w:pPr>
    </w:p>
    <w:p w:rsidR="005130BB" w:rsidRPr="001334B6" w:rsidRDefault="005130BB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sz w:val="28"/>
          <w:szCs w:val="28"/>
          <w:lang w:eastAsia="ru-RU"/>
        </w:rPr>
      </w:pPr>
    </w:p>
    <w:p w:rsidR="0025664B" w:rsidRPr="001334B6" w:rsidRDefault="0025664B" w:rsidP="0019707E">
      <w:pPr>
        <w:ind w:firstLine="567"/>
        <w:jc w:val="both"/>
        <w:rPr>
          <w:b/>
          <w:color w:val="000000"/>
          <w:sz w:val="28"/>
          <w:szCs w:val="28"/>
          <w:lang w:eastAsia="ru-RU"/>
        </w:rPr>
      </w:pPr>
      <w:r w:rsidRPr="001334B6">
        <w:rPr>
          <w:b/>
          <w:color w:val="000000"/>
          <w:sz w:val="28"/>
          <w:szCs w:val="28"/>
          <w:lang w:eastAsia="ru-RU"/>
        </w:rPr>
        <w:lastRenderedPageBreak/>
        <w:t>4 Обоснование целесообразности разработки стандарта на межгосударственном уровне</w:t>
      </w:r>
    </w:p>
    <w:p w:rsidR="00CF0881" w:rsidRDefault="001334B6" w:rsidP="00BB5E4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eastAsia="en-US"/>
        </w:rPr>
      </w:pPr>
      <w:r w:rsidRPr="001334B6">
        <w:rPr>
          <w:sz w:val="28"/>
          <w:szCs w:val="28"/>
          <w:lang w:eastAsia="en-US"/>
        </w:rPr>
        <w:t>Следствием принятия настоящего межгосударственного стандарта станет производство более качественной конкурентоспособной продукции, соответствующей требованиям технических регламентов и международных стандартов с улучшенными потребительскими качествами, а так же обеспечение  безопасности рынка продуктов сельскохозяйственного производства.</w:t>
      </w:r>
    </w:p>
    <w:p w:rsidR="001334B6" w:rsidRPr="001334B6" w:rsidRDefault="001334B6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5664B" w:rsidRPr="001334B6" w:rsidRDefault="0025664B" w:rsidP="0025664B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bCs/>
          <w:sz w:val="28"/>
          <w:szCs w:val="28"/>
          <w:lang w:eastAsia="ru-RU"/>
        </w:rPr>
      </w:pPr>
      <w:r w:rsidRPr="001334B6">
        <w:rPr>
          <w:b/>
          <w:bCs/>
          <w:sz w:val="28"/>
          <w:szCs w:val="28"/>
          <w:lang w:eastAsia="ru-RU"/>
        </w:rPr>
        <w:t xml:space="preserve">5 Сведения о взаимосвязи проекта стандарта с другими межгосударственными стандартами, правилами  и рекомендациями по межгосударственной стандартизации и /или  сведения о применении при разработке  проекта стандарта международного (регионального или национального) стандарта  (международного документа, не являющегося  международным стандартом)  </w:t>
      </w:r>
    </w:p>
    <w:p w:rsidR="00B544CA" w:rsidRDefault="001334B6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334B6">
        <w:rPr>
          <w:color w:val="000000"/>
          <w:sz w:val="28"/>
          <w:szCs w:val="28"/>
        </w:rPr>
        <w:t xml:space="preserve">Проект настоящего межгосударственного стандарта соответствует требованиям  межгосударственного стандарта 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 межгосударственного стандарта ГОСТ 1.3-2014 «Межгосударственная система стандартизации. Стандарты Межгосударственные. Правила разработки на основе международных и региональных стандартов», межгосударственного стандарта </w:t>
      </w:r>
      <w:r w:rsidR="005130BB">
        <w:rPr>
          <w:color w:val="000000"/>
          <w:sz w:val="28"/>
          <w:szCs w:val="28"/>
        </w:rPr>
        <w:t xml:space="preserve">                              </w:t>
      </w:r>
      <w:r w:rsidRPr="001334B6">
        <w:rPr>
          <w:color w:val="000000"/>
          <w:sz w:val="28"/>
          <w:szCs w:val="28"/>
        </w:rPr>
        <w:t>ГОСТ 1.5-2001«Межгосударственная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1334B6" w:rsidRPr="001334B6" w:rsidRDefault="001334B6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1334B6" w:rsidRDefault="0025664B" w:rsidP="0025664B">
      <w:pPr>
        <w:tabs>
          <w:tab w:val="left" w:pos="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sz w:val="28"/>
          <w:szCs w:val="28"/>
          <w:lang w:eastAsia="ru-RU"/>
        </w:rPr>
      </w:pPr>
      <w:r w:rsidRPr="001334B6">
        <w:rPr>
          <w:b/>
          <w:bCs/>
          <w:sz w:val="28"/>
          <w:szCs w:val="28"/>
          <w:lang w:eastAsia="ru-RU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9F7F01" w:rsidRDefault="0019707E" w:rsidP="001334B6">
      <w:pPr>
        <w:ind w:firstLine="567"/>
        <w:jc w:val="both"/>
        <w:rPr>
          <w:sz w:val="28"/>
          <w:szCs w:val="28"/>
        </w:rPr>
      </w:pPr>
      <w:r w:rsidRPr="001334B6">
        <w:rPr>
          <w:sz w:val="28"/>
          <w:szCs w:val="28"/>
        </w:rPr>
        <w:t xml:space="preserve">При принятии </w:t>
      </w:r>
      <w:r w:rsidR="005130BB" w:rsidRPr="005130BB">
        <w:rPr>
          <w:sz w:val="28"/>
          <w:szCs w:val="28"/>
        </w:rPr>
        <w:t>настоящего стандарта</w:t>
      </w:r>
      <w:r w:rsidR="005130BB">
        <w:rPr>
          <w:sz w:val="28"/>
          <w:szCs w:val="28"/>
        </w:rPr>
        <w:t xml:space="preserve"> </w:t>
      </w:r>
      <w:r w:rsidRPr="001334B6">
        <w:rPr>
          <w:sz w:val="28"/>
          <w:szCs w:val="28"/>
        </w:rPr>
        <w:t>отмена других нормативных документов по стандартизации не требуется.</w:t>
      </w:r>
    </w:p>
    <w:p w:rsidR="001334B6" w:rsidRPr="001334B6" w:rsidRDefault="001334B6" w:rsidP="001334B6">
      <w:pPr>
        <w:ind w:firstLine="567"/>
        <w:jc w:val="both"/>
        <w:rPr>
          <w:sz w:val="28"/>
          <w:szCs w:val="28"/>
          <w:lang w:val="kk-KZ"/>
        </w:rPr>
      </w:pPr>
    </w:p>
    <w:p w:rsidR="001334B6" w:rsidRPr="005130BB" w:rsidRDefault="0025664B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sz w:val="28"/>
          <w:szCs w:val="28"/>
          <w:lang w:val="kk-KZ" w:eastAsia="ru-RU"/>
        </w:rPr>
      </w:pPr>
      <w:r w:rsidRPr="005130BB">
        <w:rPr>
          <w:b/>
          <w:bCs/>
          <w:sz w:val="28"/>
          <w:szCs w:val="28"/>
          <w:lang w:val="kk-KZ" w:eastAsia="ru-RU"/>
        </w:rPr>
        <w:t>7 Перечень исходных документов</w:t>
      </w:r>
    </w:p>
    <w:p w:rsidR="0025664B" w:rsidRDefault="0025664B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  <w:lang w:eastAsia="ru-RU"/>
        </w:rPr>
      </w:pPr>
      <w:r w:rsidRPr="005130BB">
        <w:rPr>
          <w:bCs/>
          <w:sz w:val="28"/>
          <w:szCs w:val="28"/>
          <w:lang w:val="kk-KZ" w:eastAsia="ru-RU"/>
        </w:rPr>
        <w:t xml:space="preserve"> </w:t>
      </w:r>
      <w:r w:rsidR="001334B6" w:rsidRPr="005130BB">
        <w:rPr>
          <w:bCs/>
          <w:sz w:val="28"/>
          <w:szCs w:val="28"/>
          <w:lang w:val="kk-KZ" w:eastAsia="ru-RU"/>
        </w:rPr>
        <w:t>Настоящий межгосударственный стандарт разработан на основе</w:t>
      </w:r>
      <w:r w:rsidR="005130BB">
        <w:rPr>
          <w:lang w:val="kk-KZ"/>
        </w:rPr>
        <w:t xml:space="preserve">                          </w:t>
      </w:r>
      <w:r w:rsidR="001334B6" w:rsidRPr="005130BB">
        <w:rPr>
          <w:bCs/>
          <w:sz w:val="28"/>
          <w:szCs w:val="28"/>
          <w:lang w:val="kk-KZ" w:eastAsia="ru-RU"/>
        </w:rPr>
        <w:t>ISO 23443:2020</w:t>
      </w:r>
      <w:r w:rsidR="009211C3" w:rsidRPr="005130BB">
        <w:rPr>
          <w:lang w:val="kk-KZ"/>
        </w:rPr>
        <w:t xml:space="preserve"> </w:t>
      </w:r>
      <w:r w:rsidR="009211C3" w:rsidRPr="005130BB">
        <w:rPr>
          <w:bCs/>
          <w:sz w:val="28"/>
          <w:szCs w:val="28"/>
          <w:lang w:val="kk-KZ" w:eastAsia="ru-RU"/>
        </w:rPr>
        <w:t xml:space="preserve">(E) Infant formula and adult nutritionals — Determination of </w:t>
      </w:r>
      <w:r w:rsidR="009211C3" w:rsidRPr="009211C3">
        <w:rPr>
          <w:bCs/>
          <w:sz w:val="28"/>
          <w:szCs w:val="28"/>
          <w:lang w:eastAsia="ru-RU"/>
        </w:rPr>
        <w:t>β</w:t>
      </w:r>
      <w:r w:rsidR="009211C3" w:rsidRPr="005130BB">
        <w:rPr>
          <w:bCs/>
          <w:sz w:val="28"/>
          <w:szCs w:val="28"/>
          <w:lang w:val="kk-KZ" w:eastAsia="ru-RU"/>
        </w:rPr>
        <w:t xml:space="preserve">-carotene, lycopene and lutein by reversed-phase ultra-high performance liquid chromatography (RP-UHPLC) (Смеси детские и пищевые добавки для взрослых. </w:t>
      </w:r>
      <w:r w:rsidR="009211C3" w:rsidRPr="009211C3">
        <w:rPr>
          <w:bCs/>
          <w:sz w:val="28"/>
          <w:szCs w:val="28"/>
          <w:lang w:eastAsia="ru-RU"/>
        </w:rPr>
        <w:t xml:space="preserve">Определение содержания β каротина, </w:t>
      </w:r>
      <w:proofErr w:type="spellStart"/>
      <w:r w:rsidR="009211C3" w:rsidRPr="009211C3">
        <w:rPr>
          <w:bCs/>
          <w:sz w:val="28"/>
          <w:szCs w:val="28"/>
          <w:lang w:eastAsia="ru-RU"/>
        </w:rPr>
        <w:t>ликопина</w:t>
      </w:r>
      <w:proofErr w:type="spellEnd"/>
      <w:r w:rsidR="009211C3" w:rsidRPr="009211C3">
        <w:rPr>
          <w:bCs/>
          <w:sz w:val="28"/>
          <w:szCs w:val="28"/>
          <w:lang w:eastAsia="ru-RU"/>
        </w:rPr>
        <w:t xml:space="preserve"> и </w:t>
      </w:r>
      <w:proofErr w:type="spellStart"/>
      <w:r w:rsidR="009211C3" w:rsidRPr="009211C3">
        <w:rPr>
          <w:bCs/>
          <w:sz w:val="28"/>
          <w:szCs w:val="28"/>
          <w:lang w:eastAsia="ru-RU"/>
        </w:rPr>
        <w:t>лютеина</w:t>
      </w:r>
      <w:proofErr w:type="spellEnd"/>
      <w:r w:rsidR="009211C3" w:rsidRPr="009211C3">
        <w:rPr>
          <w:bCs/>
          <w:sz w:val="28"/>
          <w:szCs w:val="28"/>
          <w:lang w:eastAsia="ru-RU"/>
        </w:rPr>
        <w:t xml:space="preserve"> методом </w:t>
      </w:r>
      <w:proofErr w:type="spellStart"/>
      <w:r w:rsidR="009211C3" w:rsidRPr="009211C3">
        <w:rPr>
          <w:bCs/>
          <w:sz w:val="28"/>
          <w:szCs w:val="28"/>
          <w:lang w:eastAsia="ru-RU"/>
        </w:rPr>
        <w:t>обращенно</w:t>
      </w:r>
      <w:proofErr w:type="spellEnd"/>
      <w:r w:rsidR="009211C3" w:rsidRPr="009211C3">
        <w:rPr>
          <w:bCs/>
          <w:sz w:val="28"/>
          <w:szCs w:val="28"/>
          <w:lang w:eastAsia="ru-RU"/>
        </w:rPr>
        <w:t xml:space="preserve">-фазовой </w:t>
      </w:r>
      <w:proofErr w:type="spellStart"/>
      <w:r w:rsidR="009211C3" w:rsidRPr="009211C3">
        <w:rPr>
          <w:bCs/>
          <w:sz w:val="28"/>
          <w:szCs w:val="28"/>
          <w:lang w:eastAsia="ru-RU"/>
        </w:rPr>
        <w:t>ультравысокоэффективной</w:t>
      </w:r>
      <w:proofErr w:type="spellEnd"/>
      <w:r w:rsidR="009211C3" w:rsidRPr="009211C3">
        <w:rPr>
          <w:bCs/>
          <w:sz w:val="28"/>
          <w:szCs w:val="28"/>
          <w:lang w:eastAsia="ru-RU"/>
        </w:rPr>
        <w:t xml:space="preserve"> жидкостной хроматографии (О</w:t>
      </w:r>
      <w:proofErr w:type="gramStart"/>
      <w:r w:rsidR="009211C3" w:rsidRPr="009211C3">
        <w:rPr>
          <w:bCs/>
          <w:sz w:val="28"/>
          <w:szCs w:val="28"/>
          <w:lang w:eastAsia="ru-RU"/>
        </w:rPr>
        <w:t>Ф-</w:t>
      </w:r>
      <w:proofErr w:type="gramEnd"/>
      <w:r w:rsidR="009211C3" w:rsidRPr="009211C3">
        <w:rPr>
          <w:bCs/>
          <w:sz w:val="28"/>
          <w:szCs w:val="28"/>
          <w:lang w:eastAsia="ru-RU"/>
        </w:rPr>
        <w:t xml:space="preserve"> УВЭЖХ))</w:t>
      </w:r>
    </w:p>
    <w:p w:rsidR="009211C3" w:rsidRPr="001334B6" w:rsidRDefault="009211C3" w:rsidP="0025664B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  <w:lang w:eastAsia="ru-RU"/>
        </w:rPr>
      </w:pPr>
    </w:p>
    <w:p w:rsidR="005130BB" w:rsidRPr="00EA438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  <w:r w:rsidRPr="00EA4381">
        <w:rPr>
          <w:b/>
          <w:sz w:val="28"/>
          <w:szCs w:val="28"/>
          <w:lang w:val="kk-KZ"/>
        </w:rPr>
        <w:t>8 Сведения о разработчиках стандарта</w:t>
      </w:r>
    </w:p>
    <w:p w:rsidR="005130BB" w:rsidRPr="00EA438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EA4381">
        <w:rPr>
          <w:sz w:val="28"/>
          <w:szCs w:val="28"/>
          <w:lang w:val="kk-KZ"/>
        </w:rPr>
        <w:t>Разработчик:</w:t>
      </w:r>
    </w:p>
    <w:p w:rsidR="005130BB" w:rsidRPr="00EA438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EA4381">
        <w:rPr>
          <w:sz w:val="28"/>
          <w:szCs w:val="28"/>
          <w:lang w:val="kk-KZ"/>
        </w:rPr>
        <w:t>РГП Казахстанский институт стандартизации и метрологии, город Нур-Султан, 010000, Левый берег, район Есиль, проспект Мәңгілік Ел, дом 11, здание «Эталонный центр».</w:t>
      </w:r>
    </w:p>
    <w:p w:rsidR="005130BB" w:rsidRPr="00EA4381" w:rsidRDefault="005130BB" w:rsidP="00D66002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EA4381">
        <w:rPr>
          <w:sz w:val="28"/>
          <w:szCs w:val="28"/>
          <w:lang w:val="kk-KZ"/>
        </w:rPr>
        <w:t>Срок разработки:</w:t>
      </w:r>
    </w:p>
    <w:p w:rsidR="005130BB" w:rsidRDefault="005130BB" w:rsidP="00D66002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  <w:lang w:val="kk-KZ"/>
        </w:rPr>
      </w:pPr>
    </w:p>
    <w:p w:rsidR="005130BB" w:rsidRDefault="005130BB" w:rsidP="005130B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5130BB" w:rsidRPr="00C9554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C95541">
        <w:rPr>
          <w:b/>
          <w:sz w:val="28"/>
          <w:szCs w:val="28"/>
        </w:rPr>
        <w:t>Заместитель</w:t>
      </w:r>
    </w:p>
    <w:p w:rsidR="005130BB" w:rsidRPr="00C9554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C95541">
        <w:rPr>
          <w:b/>
          <w:sz w:val="28"/>
          <w:szCs w:val="28"/>
        </w:rPr>
        <w:t>Генерального директора РГП «</w:t>
      </w:r>
      <w:proofErr w:type="spellStart"/>
      <w:r w:rsidRPr="00C95541">
        <w:rPr>
          <w:b/>
          <w:sz w:val="28"/>
          <w:szCs w:val="28"/>
        </w:rPr>
        <w:t>КазСтандарт</w:t>
      </w:r>
      <w:proofErr w:type="spellEnd"/>
      <w:r w:rsidRPr="00C95541">
        <w:rPr>
          <w:b/>
          <w:sz w:val="28"/>
          <w:szCs w:val="28"/>
        </w:rPr>
        <w:t xml:space="preserve">»                         С. </w:t>
      </w:r>
      <w:proofErr w:type="spellStart"/>
      <w:r w:rsidRPr="00C95541">
        <w:rPr>
          <w:b/>
          <w:sz w:val="28"/>
          <w:szCs w:val="28"/>
        </w:rPr>
        <w:t>Радаев</w:t>
      </w:r>
      <w:proofErr w:type="spellEnd"/>
      <w:r w:rsidRPr="00C95541">
        <w:rPr>
          <w:b/>
          <w:sz w:val="28"/>
          <w:szCs w:val="28"/>
        </w:rPr>
        <w:t xml:space="preserve"> </w:t>
      </w:r>
    </w:p>
    <w:p w:rsidR="005130BB" w:rsidRPr="00C9554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5130BB" w:rsidRPr="00C95541" w:rsidRDefault="005130BB" w:rsidP="005130B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5415A8" w:rsidRPr="00A55726" w:rsidRDefault="005415A8" w:rsidP="00683077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5415A8" w:rsidRPr="00A55726" w:rsidSect="005130BB">
      <w:pgSz w:w="11906" w:h="16838"/>
      <w:pgMar w:top="709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C"/>
    <w:rsid w:val="000A1A40"/>
    <w:rsid w:val="00104A93"/>
    <w:rsid w:val="00125463"/>
    <w:rsid w:val="001334B6"/>
    <w:rsid w:val="0019707E"/>
    <w:rsid w:val="002100F8"/>
    <w:rsid w:val="00236BD3"/>
    <w:rsid w:val="0025664B"/>
    <w:rsid w:val="002A31E7"/>
    <w:rsid w:val="002B7125"/>
    <w:rsid w:val="002D3BAB"/>
    <w:rsid w:val="00312001"/>
    <w:rsid w:val="0037696A"/>
    <w:rsid w:val="004455EC"/>
    <w:rsid w:val="004A17E9"/>
    <w:rsid w:val="005130BB"/>
    <w:rsid w:val="00520287"/>
    <w:rsid w:val="005415A8"/>
    <w:rsid w:val="00683077"/>
    <w:rsid w:val="00702F60"/>
    <w:rsid w:val="0072562F"/>
    <w:rsid w:val="007657B3"/>
    <w:rsid w:val="00800B8D"/>
    <w:rsid w:val="00866D3B"/>
    <w:rsid w:val="008C4F89"/>
    <w:rsid w:val="008D19E3"/>
    <w:rsid w:val="009211C3"/>
    <w:rsid w:val="00953B51"/>
    <w:rsid w:val="009A6B02"/>
    <w:rsid w:val="009F7F01"/>
    <w:rsid w:val="00A55726"/>
    <w:rsid w:val="00B46E1C"/>
    <w:rsid w:val="00B544CA"/>
    <w:rsid w:val="00B575EB"/>
    <w:rsid w:val="00B66745"/>
    <w:rsid w:val="00BB5E4C"/>
    <w:rsid w:val="00C025FE"/>
    <w:rsid w:val="00C060FF"/>
    <w:rsid w:val="00C841BA"/>
    <w:rsid w:val="00CC7620"/>
    <w:rsid w:val="00CF0881"/>
    <w:rsid w:val="00D66002"/>
    <w:rsid w:val="00D803BE"/>
    <w:rsid w:val="00DC4349"/>
    <w:rsid w:val="00DE44F8"/>
    <w:rsid w:val="00E02156"/>
    <w:rsid w:val="00F11D82"/>
    <w:rsid w:val="00F27097"/>
    <w:rsid w:val="00F85E3C"/>
    <w:rsid w:val="00FC1719"/>
    <w:rsid w:val="00FE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SSS</cp:lastModifiedBy>
  <cp:revision>41</cp:revision>
  <dcterms:created xsi:type="dcterms:W3CDTF">2020-01-16T13:16:00Z</dcterms:created>
  <dcterms:modified xsi:type="dcterms:W3CDTF">2021-05-21T10:44:00Z</dcterms:modified>
</cp:coreProperties>
</file>